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2F7D" w14:textId="6C4038F4" w:rsidR="00BF0B36" w:rsidRPr="00BF0B36" w:rsidRDefault="00D6257F" w:rsidP="00BF0B36">
      <w:pPr>
        <w:rPr>
          <w:b/>
          <w:sz w:val="28"/>
          <w:szCs w:val="28"/>
        </w:rPr>
      </w:pPr>
      <w:bookmarkStart w:id="0" w:name="_Hlk203662430"/>
      <w:r>
        <w:rPr>
          <w:b/>
          <w:sz w:val="28"/>
          <w:szCs w:val="28"/>
        </w:rPr>
        <w:t xml:space="preserve">Respekt für das </w:t>
      </w:r>
      <w:r w:rsidR="00BF0B36" w:rsidRPr="00BF0B36">
        <w:rPr>
          <w:b/>
          <w:sz w:val="28"/>
          <w:szCs w:val="28"/>
        </w:rPr>
        <w:t xml:space="preserve">Völkerrecht in Gaza </w:t>
      </w:r>
    </w:p>
    <w:p w14:paraId="3D76FCC0" w14:textId="04112777" w:rsidR="00BF0B36" w:rsidRPr="00BF0B36" w:rsidRDefault="00BF0B36" w:rsidP="00BF0B36">
      <w:pPr>
        <w:rPr>
          <w:b/>
        </w:rPr>
      </w:pPr>
      <w:r w:rsidRPr="00BF0B36">
        <w:rPr>
          <w:b/>
        </w:rPr>
        <w:t xml:space="preserve">Die Perspektive israelischer Völkerrechtler </w:t>
      </w:r>
    </w:p>
    <w:p w14:paraId="44965A10" w14:textId="77777777" w:rsidR="00BF0B36" w:rsidRDefault="00BF0B36" w:rsidP="00BF0B36"/>
    <w:p w14:paraId="2C5E21D2" w14:textId="0638C4E5" w:rsidR="00BF0B36" w:rsidRPr="00BF0B36" w:rsidRDefault="00BF0B36" w:rsidP="00BF0B36">
      <w:r w:rsidRPr="00BF0B36">
        <w:t>Seit Oktober 2023 – dem Monat des massiven Angriffs der Hamas auf Israel – hat eine Gruppe renommierter israelischer Völkerrechtswissenschaftler zahlreiche Briefe und Memo</w:t>
      </w:r>
      <w:r>
        <w:t xml:space="preserve">randen </w:t>
      </w:r>
      <w:r w:rsidRPr="00BF0B36">
        <w:t xml:space="preserve">verfasst, in denen sie ihre Besorgnis über viele Aspekte des Gaza-Krieges aus völkerrechtlicher, insbesondere </w:t>
      </w:r>
      <w:proofErr w:type="spellStart"/>
      <w:r w:rsidRPr="00BF0B36">
        <w:t>humanitär</w:t>
      </w:r>
      <w:r>
        <w:t>völkerrechtlicher</w:t>
      </w:r>
      <w:proofErr w:type="spellEnd"/>
      <w:r w:rsidRPr="00BF0B36">
        <w:t xml:space="preserve">, </w:t>
      </w:r>
      <w:r>
        <w:t>Sicht</w:t>
      </w:r>
      <w:r w:rsidRPr="00BF0B36">
        <w:t xml:space="preserve"> zum Ausdruck bringen. Die meisten dieser Dokumente wurden von mehreren dieser Wissenschaftler persönlich unterzeichnet (die Liste der Unterzeichner variiert jedoch von Brief zu Brief). Einige wenige wurden im Rahmen des Israelischen Forums für Demokratie </w:t>
      </w:r>
      <w:r>
        <w:t>von</w:t>
      </w:r>
      <w:r w:rsidRPr="00BF0B36">
        <w:t xml:space="preserve"> Rechtsprofessoren (</w:t>
      </w:r>
      <w:hyperlink r:id="rId8" w:history="1">
        <w:r w:rsidRPr="00BF0B36">
          <w:rPr>
            <w:rStyle w:val="Hyperlink"/>
            <w:rFonts w:cs="Arial"/>
            <w:shd w:val="clear" w:color="auto" w:fill="FFFFFF"/>
          </w:rPr>
          <w:t xml:space="preserve">Israeli Law Professors’ Forum </w:t>
        </w:r>
        <w:proofErr w:type="spellStart"/>
        <w:r w:rsidRPr="00BF0B36">
          <w:rPr>
            <w:rStyle w:val="Hyperlink"/>
            <w:rFonts w:cs="Arial"/>
            <w:shd w:val="clear" w:color="auto" w:fill="FFFFFF"/>
          </w:rPr>
          <w:t>for</w:t>
        </w:r>
        <w:proofErr w:type="spellEnd"/>
        <w:r w:rsidRPr="00BF0B36">
          <w:rPr>
            <w:rStyle w:val="Hyperlink"/>
            <w:rFonts w:cs="Arial"/>
            <w:shd w:val="clear" w:color="auto" w:fill="FFFFFF"/>
          </w:rPr>
          <w:t xml:space="preserve"> Democracy</w:t>
        </w:r>
      </w:hyperlink>
      <w:r w:rsidRPr="00BF0B36">
        <w:rPr>
          <w:rStyle w:val="Hyperlink"/>
          <w:rFonts w:cs="Arial"/>
          <w:shd w:val="clear" w:color="auto" w:fill="FFFFFF"/>
        </w:rPr>
        <w:t>,</w:t>
      </w:r>
      <w:r w:rsidRPr="00BF0B36">
        <w:rPr>
          <w:rFonts w:cs="Arial"/>
          <w:color w:val="222222"/>
          <w:shd w:val="clear" w:color="auto" w:fill="FFFFFF"/>
        </w:rPr>
        <w:t xml:space="preserve"> </w:t>
      </w:r>
      <w:r w:rsidRPr="00BF0B36">
        <w:t>ILPFD) verfasst</w:t>
      </w:r>
      <w:r>
        <w:t xml:space="preserve">. Dabei handelt es sich um </w:t>
      </w:r>
      <w:r w:rsidRPr="00BF0B36">
        <w:t xml:space="preserve">eine deutlich </w:t>
      </w:r>
      <w:r>
        <w:t>größere</w:t>
      </w:r>
      <w:r w:rsidRPr="00BF0B36">
        <w:t xml:space="preserve"> Gruppe, die sich vor allem gegen de</w:t>
      </w:r>
      <w:r>
        <w:t>n</w:t>
      </w:r>
      <w:r w:rsidRPr="00BF0B36">
        <w:t xml:space="preserve"> von der israelischen Regierung in den letzten Jahren vorangetriebene</w:t>
      </w:r>
      <w:r>
        <w:t>n – rechtsstaatlich bedenklichen – Umbau des</w:t>
      </w:r>
      <w:r w:rsidRPr="00BF0B36">
        <w:t xml:space="preserve"> Justiz</w:t>
      </w:r>
      <w:r>
        <w:t>systems</w:t>
      </w:r>
      <w:r w:rsidRPr="00BF0B36">
        <w:t xml:space="preserve"> einsetzt. Einige Mitglieder der Gruppe beteiligten sich zudem an einer Petition an den Obersten Gerichtshof (High Court of Justice, HCJ) gegen </w:t>
      </w:r>
      <w:r w:rsidR="00056661">
        <w:t>ein kürzlich verabschiedetes</w:t>
      </w:r>
      <w:r w:rsidRPr="00BF0B36">
        <w:t xml:space="preserve"> Gesetz, </w:t>
      </w:r>
      <w:r w:rsidR="00056661">
        <w:t>das</w:t>
      </w:r>
      <w:r w:rsidRPr="00BF0B36">
        <w:t xml:space="preserve"> Personen, die internationale Strafverfahren unterstützen, die Einreise nach Israel verbietet (siehe</w:t>
      </w:r>
      <w:r w:rsidR="00056661">
        <w:t xml:space="preserve"> </w:t>
      </w:r>
      <w:hyperlink r:id="rId9" w:history="1">
        <w:r w:rsidR="00056661" w:rsidRPr="00056661">
          <w:rPr>
            <w:rStyle w:val="Hyperlink"/>
            <w:rFonts w:cs="Arial"/>
            <w:shd w:val="clear" w:color="auto" w:fill="FFFFFF"/>
          </w:rPr>
          <w:t>h</w:t>
        </w:r>
        <w:r w:rsidR="00D6257F">
          <w:rPr>
            <w:rStyle w:val="Hyperlink"/>
            <w:rFonts w:cs="Arial"/>
            <w:shd w:val="clear" w:color="auto" w:fill="FFFFFF"/>
          </w:rPr>
          <w:t>i</w:t>
        </w:r>
        <w:r w:rsidR="00056661" w:rsidRPr="00056661">
          <w:rPr>
            <w:rStyle w:val="Hyperlink"/>
            <w:rFonts w:cs="Arial"/>
            <w:shd w:val="clear" w:color="auto" w:fill="FFFFFF"/>
          </w:rPr>
          <w:t>er</w:t>
        </w:r>
      </w:hyperlink>
      <w:r w:rsidRPr="00BF0B36">
        <w:t>).</w:t>
      </w:r>
    </w:p>
    <w:p w14:paraId="39429385" w14:textId="7B5E1DB5" w:rsidR="00056661" w:rsidRPr="009D5186" w:rsidRDefault="00056661">
      <w:pPr>
        <w:spacing w:before="100" w:beforeAutospacing="1" w:after="100" w:afterAutospacing="1"/>
        <w:rPr>
          <w:rStyle w:val="rynqvb"/>
        </w:rPr>
      </w:pPr>
      <w:r>
        <w:rPr>
          <w:rStyle w:val="rynqvb"/>
        </w:rPr>
        <w:t xml:space="preserve">Unmittelbar nach dem Anschlag vom 7. Oktober 2023 verfassten einige Mitglieder dieser Gruppe einen Brief, in dem sie das Verhalten der Hamas aus der Perspektive des humanitären Völkerrechts und des Völkerstrafrechts analysierten. Dieser Brief wurde anschließend von zahlreichen Völkerrechtlern aus anderen Ländern unterzeichnet, darunter auch diesem Autor (siehe </w:t>
      </w:r>
      <w:hyperlink r:id="rId10" w:history="1">
        <w:r w:rsidRPr="00056661">
          <w:rPr>
            <w:rStyle w:val="Hyperlink"/>
          </w:rPr>
          <w:t>hier</w:t>
        </w:r>
      </w:hyperlink>
      <w:r>
        <w:rPr>
          <w:rStyle w:val="rynqvb"/>
        </w:rPr>
        <w:t>).</w:t>
      </w:r>
      <w:r>
        <w:rPr>
          <w:rStyle w:val="hwtze"/>
        </w:rPr>
        <w:t xml:space="preserve"> </w:t>
      </w:r>
      <w:r>
        <w:rPr>
          <w:rStyle w:val="rynqvb"/>
        </w:rPr>
        <w:t>Die seither verfassten Briefe und Memoranden wurden an den Generalstaatsanwalt Israels, den Militärgeneralanwalt, den Verteidigungsminister und andere Politiker sowie an Medienvertreter und den Obersten Gerichtshof gerichtet;</w:t>
      </w:r>
      <w:r>
        <w:rPr>
          <w:rStyle w:val="hwtze"/>
        </w:rPr>
        <w:t xml:space="preserve"> </w:t>
      </w:r>
      <w:r>
        <w:rPr>
          <w:rStyle w:val="rynqvb"/>
        </w:rPr>
        <w:t>einige wurden auch als öffentliche Stellungnahmen veröffentlicht</w:t>
      </w:r>
      <w:r w:rsidR="009D5186">
        <w:rPr>
          <w:rStyle w:val="rynqvb"/>
        </w:rPr>
        <w:t xml:space="preserve"> oder zuvor in den sozialen Medien verbreitet</w:t>
      </w:r>
      <w:r>
        <w:rPr>
          <w:rStyle w:val="rynqvb"/>
        </w:rPr>
        <w:t>.</w:t>
      </w:r>
      <w:r>
        <w:rPr>
          <w:rStyle w:val="hwtze"/>
        </w:rPr>
        <w:t xml:space="preserve"> </w:t>
      </w:r>
      <w:r>
        <w:rPr>
          <w:rStyle w:val="rynqvb"/>
        </w:rPr>
        <w:t xml:space="preserve">Bisher wurde nur einer der Briefe, nämlich der letzte vom 10. Juli 2025, der sich mit dem Vorschlag zur Errichtung einer </w:t>
      </w:r>
      <w:hyperlink r:id="rId11" w:history="1">
        <w:r w:rsidRPr="00056661">
          <w:rPr>
            <w:rStyle w:val="Hyperlink"/>
          </w:rPr>
          <w:t>„‘Humanitären Stadt‘ auf den Ruinen Rafahs</w:t>
        </w:r>
      </w:hyperlink>
      <w:r>
        <w:rPr>
          <w:rStyle w:val="rynqvb"/>
        </w:rPr>
        <w:t xml:space="preserve">“ im Süden des Gaza-Streifens befasst, „offiziell“ veröffentlicht (siehe </w:t>
      </w:r>
      <w:hyperlink r:id="rId12" w:history="1">
        <w:r w:rsidRPr="00056661">
          <w:rPr>
            <w:rStyle w:val="Hyperlink"/>
          </w:rPr>
          <w:t>hier</w:t>
        </w:r>
      </w:hyperlink>
      <w:r>
        <w:rPr>
          <w:rStyle w:val="rynqvb"/>
        </w:rPr>
        <w:t xml:space="preserve"> und auch hier, </w:t>
      </w:r>
      <w:r w:rsidRPr="00056661">
        <w:rPr>
          <w:rStyle w:val="rynqvb"/>
          <w:color w:val="FF0000"/>
        </w:rPr>
        <w:t>Nr. 18</w:t>
      </w:r>
      <w:r>
        <w:rPr>
          <w:rStyle w:val="rynqvb"/>
        </w:rPr>
        <w:t>).</w:t>
      </w:r>
      <w:r>
        <w:rPr>
          <w:rStyle w:val="hwtze"/>
        </w:rPr>
        <w:t xml:space="preserve"> </w:t>
      </w:r>
      <w:r w:rsidRPr="009D5186">
        <w:rPr>
          <w:rStyle w:val="rynqvb"/>
        </w:rPr>
        <w:t>Bis heute ha</w:t>
      </w:r>
      <w:r w:rsidR="009D5186" w:rsidRPr="009D5186">
        <w:rPr>
          <w:rStyle w:val="rynqvb"/>
        </w:rPr>
        <w:t>be</w:t>
      </w:r>
      <w:r w:rsidR="009D5186">
        <w:rPr>
          <w:rStyle w:val="rynqvb"/>
        </w:rPr>
        <w:t xml:space="preserve">n die Verfasser auf </w:t>
      </w:r>
      <w:r w:rsidRPr="009D5186">
        <w:rPr>
          <w:rStyle w:val="rynqvb"/>
        </w:rPr>
        <w:t>keine</w:t>
      </w:r>
      <w:r w:rsidR="00D6257F">
        <w:rPr>
          <w:rStyle w:val="rynqvb"/>
        </w:rPr>
        <w:t>n</w:t>
      </w:r>
      <w:r w:rsidRPr="009D5186">
        <w:rPr>
          <w:rStyle w:val="rynqvb"/>
        </w:rPr>
        <w:t xml:space="preserve"> der Briefe eine </w:t>
      </w:r>
      <w:r w:rsidR="009D5186">
        <w:rPr>
          <w:rStyle w:val="rynqvb"/>
        </w:rPr>
        <w:t xml:space="preserve">substantielle </w:t>
      </w:r>
      <w:r w:rsidRPr="009D5186">
        <w:rPr>
          <w:rStyle w:val="rynqvb"/>
        </w:rPr>
        <w:t>Antwort erhalten.</w:t>
      </w:r>
    </w:p>
    <w:p w14:paraId="0E21A65D" w14:textId="77777777" w:rsidR="009D5186" w:rsidRPr="00D6257F" w:rsidRDefault="009D5186" w:rsidP="00F5743D">
      <w:pPr>
        <w:spacing w:before="100" w:beforeAutospacing="1" w:after="100" w:afterAutospacing="1"/>
      </w:pPr>
    </w:p>
    <w:p w14:paraId="1227822E" w14:textId="47C3B60C" w:rsidR="00DD13CB" w:rsidRDefault="009D5186" w:rsidP="00F5743D">
      <w:pPr>
        <w:spacing w:before="100" w:beforeAutospacing="1" w:after="100" w:afterAutospacing="1"/>
        <w:rPr>
          <w:rStyle w:val="rynqvb"/>
        </w:rPr>
      </w:pPr>
      <w:r>
        <w:rPr>
          <w:rStyle w:val="rynqvb"/>
        </w:rPr>
        <w:lastRenderedPageBreak/>
        <w:t xml:space="preserve">Angesichts der Bedeutung dieser Dokumente sowohl in rechtsdogmatischer und zeitgeschichtlicher Hinsicht als auch zur Hervorhebung der Arbeit dieser Kolleginnen und Kollegen haben wir um ihre Veröffentlichung ersucht und können diese nun über das Archiv des Verfassungsblog </w:t>
      </w:r>
      <w:r w:rsidR="00DD13CB">
        <w:rPr>
          <w:rStyle w:val="rynqvb"/>
        </w:rPr>
        <w:t xml:space="preserve">in englischer Sprache (Übersetzung aus dem hebräischen Original) </w:t>
      </w:r>
      <w:r>
        <w:rPr>
          <w:rStyle w:val="rynqvb"/>
        </w:rPr>
        <w:t xml:space="preserve">zugänglich machen (für eine chronologische Übersicht aller 18 Dokumente siehe hier </w:t>
      </w:r>
      <w:r w:rsidRPr="009D5186">
        <w:rPr>
          <w:rStyle w:val="rynqvb"/>
          <w:color w:val="FF0000"/>
        </w:rPr>
        <w:t>TABLE</w:t>
      </w:r>
      <w:r>
        <w:rPr>
          <w:rStyle w:val="rynqvb"/>
          <w:color w:val="FF0000"/>
        </w:rPr>
        <w:t xml:space="preserve"> sowie evtl. link auf euer Archiv?</w:t>
      </w:r>
      <w:r>
        <w:rPr>
          <w:rStyle w:val="rynqvb"/>
        </w:rPr>
        <w:t>).</w:t>
      </w:r>
      <w:r>
        <w:rPr>
          <w:rStyle w:val="hwtze"/>
        </w:rPr>
        <w:t xml:space="preserve"> </w:t>
      </w:r>
      <w:r w:rsidR="00DD13CB">
        <w:rPr>
          <w:rStyle w:val="rynqvb"/>
        </w:rPr>
        <w:t>In einer parallelen englischen Veröffentlichung</w:t>
      </w:r>
      <w:r>
        <w:rPr>
          <w:rStyle w:val="rynqvb"/>
        </w:rPr>
        <w:t xml:space="preserve"> </w:t>
      </w:r>
      <w:r w:rsidR="00D6257F">
        <w:rPr>
          <w:rStyle w:val="rynqvb"/>
        </w:rPr>
        <w:t>(</w:t>
      </w:r>
      <w:hyperlink r:id="rId13" w:history="1">
        <w:r w:rsidR="00D6257F" w:rsidRPr="00D6257F">
          <w:rPr>
            <w:rStyle w:val="Hyperlink"/>
          </w:rPr>
          <w:t>hier</w:t>
        </w:r>
      </w:hyperlink>
      <w:r w:rsidR="00D6257F">
        <w:rPr>
          <w:rStyle w:val="rynqvb"/>
        </w:rPr>
        <w:t xml:space="preserve">) </w:t>
      </w:r>
      <w:r>
        <w:rPr>
          <w:rStyle w:val="rynqvb"/>
        </w:rPr>
        <w:t xml:space="preserve">wurden die Dokumente systematisch </w:t>
      </w:r>
      <w:r w:rsidR="00DD13CB">
        <w:rPr>
          <w:rStyle w:val="rynqvb"/>
        </w:rPr>
        <w:t>aufgearbeitet</w:t>
      </w:r>
      <w:r w:rsidR="00D6257F">
        <w:rPr>
          <w:rStyle w:val="rynqvb"/>
        </w:rPr>
        <w:t>,</w:t>
      </w:r>
      <w:r w:rsidR="00DD13CB">
        <w:rPr>
          <w:rStyle w:val="Funotenzeichen"/>
        </w:rPr>
        <w:footnoteReference w:id="1"/>
      </w:r>
      <w:r w:rsidR="00DD13CB">
        <w:rPr>
          <w:rStyle w:val="rynqvb"/>
        </w:rPr>
        <w:t xml:space="preserve"> </w:t>
      </w:r>
      <w:r w:rsidR="00D6257F">
        <w:rPr>
          <w:rStyle w:val="rynqvb"/>
        </w:rPr>
        <w:t xml:space="preserve">wobei </w:t>
      </w:r>
      <w:r w:rsidR="00A26F6C">
        <w:rPr>
          <w:rStyle w:val="rynqvb"/>
        </w:rPr>
        <w:t xml:space="preserve">folgende </w:t>
      </w:r>
      <w:r>
        <w:rPr>
          <w:rStyle w:val="rynqvb"/>
        </w:rPr>
        <w:t>Themen</w:t>
      </w:r>
      <w:r w:rsidR="00D6257F">
        <w:rPr>
          <w:rStyle w:val="rynqvb"/>
        </w:rPr>
        <w:t xml:space="preserve"> </w:t>
      </w:r>
      <w:r w:rsidR="00A26F6C">
        <w:rPr>
          <w:rStyle w:val="rynqvb"/>
        </w:rPr>
        <w:t>aus völkerrechtlicher Sicht analysiert</w:t>
      </w:r>
      <w:r w:rsidR="00D6257F">
        <w:rPr>
          <w:rStyle w:val="rynqvb"/>
        </w:rPr>
        <w:t xml:space="preserve"> wurden</w:t>
      </w:r>
      <w:r w:rsidR="00DD13CB">
        <w:rPr>
          <w:rStyle w:val="rynqvb"/>
        </w:rPr>
        <w:t>:</w:t>
      </w:r>
    </w:p>
    <w:p w14:paraId="4700133C" w14:textId="28F552C6" w:rsidR="00DD13CB" w:rsidRDefault="00A26F6C" w:rsidP="00A26F6C">
      <w:pPr>
        <w:pStyle w:val="Listenabsatz"/>
        <w:numPr>
          <w:ilvl w:val="0"/>
          <w:numId w:val="2"/>
        </w:numPr>
        <w:spacing w:before="100" w:beforeAutospacing="1" w:after="100" w:afterAutospacing="1"/>
        <w:rPr>
          <w:rStyle w:val="rynqvb"/>
        </w:rPr>
      </w:pPr>
      <w:r>
        <w:rPr>
          <w:rStyle w:val="rynqvb"/>
        </w:rPr>
        <w:t>(Nord)Gaza: Evakuierung und Rückkehr der Bewohner, humanitäre Verpflichtungen Israels</w:t>
      </w:r>
    </w:p>
    <w:p w14:paraId="07A2299B" w14:textId="0E638634" w:rsidR="00A26F6C" w:rsidRDefault="00A26F6C" w:rsidP="00A26F6C">
      <w:pPr>
        <w:pStyle w:val="Listenabsatz"/>
        <w:numPr>
          <w:ilvl w:val="0"/>
          <w:numId w:val="2"/>
        </w:numPr>
        <w:spacing w:before="100" w:beforeAutospacing="1" w:after="100" w:afterAutospacing="1"/>
        <w:rPr>
          <w:rStyle w:val="rynqvb"/>
        </w:rPr>
      </w:pPr>
      <w:r>
        <w:rPr>
          <w:rStyle w:val="rynqvb"/>
        </w:rPr>
        <w:t>Totalblockade der humanitären Hilfe</w:t>
      </w:r>
    </w:p>
    <w:p w14:paraId="1B2034FC" w14:textId="13D7E67D" w:rsidR="00A26F6C" w:rsidRDefault="00A26F6C" w:rsidP="00A26F6C">
      <w:pPr>
        <w:pStyle w:val="Listenabsatz"/>
        <w:numPr>
          <w:ilvl w:val="0"/>
          <w:numId w:val="2"/>
        </w:numPr>
        <w:spacing w:before="100" w:beforeAutospacing="1" w:after="100" w:afterAutospacing="1"/>
        <w:rPr>
          <w:rStyle w:val="rynqvb"/>
        </w:rPr>
      </w:pPr>
      <w:r>
        <w:rPr>
          <w:rStyle w:val="rynqvb"/>
        </w:rPr>
        <w:t xml:space="preserve">Analyse </w:t>
      </w:r>
      <w:r w:rsidR="00D6257F">
        <w:rPr>
          <w:rStyle w:val="rynqvb"/>
        </w:rPr>
        <w:t xml:space="preserve">und Folgen </w:t>
      </w:r>
      <w:r>
        <w:rPr>
          <w:rStyle w:val="rynqvb"/>
        </w:rPr>
        <w:t xml:space="preserve">der Anordnungen des Internationalen Gerichtshof im </w:t>
      </w:r>
      <w:hyperlink r:id="rId14" w:history="1">
        <w:r w:rsidRPr="00A26F6C">
          <w:rPr>
            <w:rStyle w:val="Hyperlink"/>
          </w:rPr>
          <w:t>Verfahren Südafrika gegen Israel</w:t>
        </w:r>
      </w:hyperlink>
      <w:r>
        <w:rPr>
          <w:rStyle w:val="rynqvb"/>
        </w:rPr>
        <w:t xml:space="preserve"> wegen eines möglichen Genozids in Gaza</w:t>
      </w:r>
    </w:p>
    <w:p w14:paraId="5CB20E6B" w14:textId="4BBD46B0" w:rsidR="00D6257F" w:rsidRDefault="00D6257F" w:rsidP="00A26F6C">
      <w:pPr>
        <w:pStyle w:val="Listenabsatz"/>
        <w:numPr>
          <w:ilvl w:val="0"/>
          <w:numId w:val="2"/>
        </w:numPr>
        <w:spacing w:before="100" w:beforeAutospacing="1" w:after="100" w:afterAutospacing="1"/>
        <w:rPr>
          <w:rStyle w:val="rynqvb"/>
        </w:rPr>
      </w:pPr>
      <w:r>
        <w:rPr>
          <w:rStyle w:val="rynqvb"/>
        </w:rPr>
        <w:t xml:space="preserve">Stellungnahmen, u.a. Aufstachelung zu Genozid </w:t>
      </w:r>
    </w:p>
    <w:p w14:paraId="374DA41B" w14:textId="5FDF4FCE" w:rsidR="00D6257F" w:rsidRDefault="00D6257F" w:rsidP="00A26F6C">
      <w:pPr>
        <w:pStyle w:val="Listenabsatz"/>
        <w:numPr>
          <w:ilvl w:val="0"/>
          <w:numId w:val="2"/>
        </w:numPr>
        <w:spacing w:before="100" w:beforeAutospacing="1" w:after="100" w:afterAutospacing="1"/>
        <w:rPr>
          <w:rStyle w:val="rynqvb"/>
        </w:rPr>
      </w:pPr>
      <w:r>
        <w:rPr>
          <w:rStyle w:val="rynqvb"/>
        </w:rPr>
        <w:t>Appell an israelische Medien</w:t>
      </w:r>
    </w:p>
    <w:p w14:paraId="15057771" w14:textId="330BECED" w:rsidR="00D6257F" w:rsidRDefault="00D6257F" w:rsidP="00A26F6C">
      <w:pPr>
        <w:pStyle w:val="Listenabsatz"/>
        <w:numPr>
          <w:ilvl w:val="0"/>
          <w:numId w:val="2"/>
        </w:numPr>
        <w:spacing w:before="100" w:beforeAutospacing="1" w:after="100" w:afterAutospacing="1"/>
        <w:rPr>
          <w:rStyle w:val="rynqvb"/>
        </w:rPr>
      </w:pPr>
      <w:r>
        <w:rPr>
          <w:rStyle w:val="rynqvb"/>
        </w:rPr>
        <w:t xml:space="preserve">Misshandlung und Tod palästinensischer Gefangener </w:t>
      </w:r>
    </w:p>
    <w:p w14:paraId="6B8D088D" w14:textId="41368A66" w:rsidR="00D6257F" w:rsidRDefault="00D6257F" w:rsidP="00A26F6C">
      <w:pPr>
        <w:pStyle w:val="Listenabsatz"/>
        <w:numPr>
          <w:ilvl w:val="0"/>
          <w:numId w:val="2"/>
        </w:numPr>
        <w:spacing w:before="100" w:beforeAutospacing="1" w:after="100" w:afterAutospacing="1"/>
        <w:rPr>
          <w:rStyle w:val="rynqvb"/>
        </w:rPr>
      </w:pPr>
      <w:r>
        <w:rPr>
          <w:rStyle w:val="rynqvb"/>
        </w:rPr>
        <w:t>(weitere) Kriegsverbrechen und Pflicht zu Ermittlungen</w:t>
      </w:r>
    </w:p>
    <w:p w14:paraId="23B0A390" w14:textId="248BB95C" w:rsidR="00DD13CB" w:rsidRPr="00DD13CB" w:rsidRDefault="00DD13CB" w:rsidP="00F5743D">
      <w:pPr>
        <w:spacing w:before="100" w:beforeAutospacing="1" w:after="100" w:afterAutospacing="1"/>
      </w:pPr>
      <w:r>
        <w:rPr>
          <w:rStyle w:val="rynqvb"/>
        </w:rPr>
        <w:t xml:space="preserve">Die Dokumente belegen nicht nur die hohe Expertise ihrer Autoren, sondern auch </w:t>
      </w:r>
      <w:r w:rsidR="00D6257F">
        <w:rPr>
          <w:rStyle w:val="rynqvb"/>
        </w:rPr>
        <w:t>ein</w:t>
      </w:r>
      <w:r>
        <w:rPr>
          <w:rStyle w:val="rynqvb"/>
        </w:rPr>
        <w:t xml:space="preserve"> bedingungsloses Bekenntnis zum (humanitären) Völkerrecht.</w:t>
      </w:r>
      <w:r>
        <w:rPr>
          <w:rStyle w:val="hwtze"/>
        </w:rPr>
        <w:t xml:space="preserve"> </w:t>
      </w:r>
      <w:r w:rsidR="00A26F6C">
        <w:rPr>
          <w:rStyle w:val="hwtze"/>
        </w:rPr>
        <w:t>Ein solches Bekenntnis und das entsprechende Engagement ha</w:t>
      </w:r>
      <w:r w:rsidR="00D6257F">
        <w:rPr>
          <w:rStyle w:val="hwtze"/>
        </w:rPr>
        <w:t>ben</w:t>
      </w:r>
      <w:r w:rsidR="00A26F6C">
        <w:rPr>
          <w:rStyle w:val="hwtze"/>
        </w:rPr>
        <w:t xml:space="preserve"> die </w:t>
      </w:r>
      <w:r>
        <w:rPr>
          <w:rStyle w:val="rynqvb"/>
        </w:rPr>
        <w:t>große Mehrheit der israelischen Völkerrechtler seit jeher gezeigt, ungeachtet der unterschiedlichen Ansichten, die jede</w:t>
      </w:r>
      <w:r w:rsidR="00D6257F">
        <w:rPr>
          <w:rStyle w:val="rynqvb"/>
        </w:rPr>
        <w:t>r</w:t>
      </w:r>
      <w:r>
        <w:rPr>
          <w:rStyle w:val="rynqvb"/>
        </w:rPr>
        <w:t xml:space="preserve"> juristische </w:t>
      </w:r>
      <w:r w:rsidR="00D6257F">
        <w:rPr>
          <w:rStyle w:val="rynqvb"/>
        </w:rPr>
        <w:t>Beurteilung eines konkreten Sachverhalts immanent ist</w:t>
      </w:r>
      <w:r>
        <w:rPr>
          <w:rStyle w:val="rynqvb"/>
        </w:rPr>
        <w:t>.</w:t>
      </w:r>
      <w:r>
        <w:rPr>
          <w:rStyle w:val="hwtze"/>
        </w:rPr>
        <w:t xml:space="preserve"> </w:t>
      </w:r>
      <w:r w:rsidR="00D6257F">
        <w:rPr>
          <w:rStyle w:val="hwtze"/>
        </w:rPr>
        <w:t xml:space="preserve">Das bedingungslose Bekenntnis zum Völkerrecht </w:t>
      </w:r>
      <w:r>
        <w:rPr>
          <w:rStyle w:val="rynqvb"/>
        </w:rPr>
        <w:t xml:space="preserve">ist besonders wichtig in diesen herausfordernden Zeiten, in denen das Völkerrecht von verschiedenen </w:t>
      </w:r>
      <w:r w:rsidR="00A26F6C">
        <w:rPr>
          <w:rStyle w:val="rynqvb"/>
        </w:rPr>
        <w:t>Seiten</w:t>
      </w:r>
      <w:r>
        <w:rPr>
          <w:rStyle w:val="rynqvb"/>
        </w:rPr>
        <w:t xml:space="preserve"> angegriffen </w:t>
      </w:r>
      <w:r w:rsidR="00A26F6C">
        <w:rPr>
          <w:rStyle w:val="rynqvb"/>
        </w:rPr>
        <w:t xml:space="preserve">und in Frage gestellt </w:t>
      </w:r>
      <w:r>
        <w:rPr>
          <w:rStyle w:val="rynqvb"/>
        </w:rPr>
        <w:t>wird</w:t>
      </w:r>
      <w:r w:rsidR="00A26F6C">
        <w:rPr>
          <w:rStyle w:val="rynqvb"/>
        </w:rPr>
        <w:t xml:space="preserve">. </w:t>
      </w:r>
      <w:r w:rsidR="00D6257F">
        <w:rPr>
          <w:rStyle w:val="rynqvb"/>
        </w:rPr>
        <w:t xml:space="preserve">So </w:t>
      </w:r>
      <w:r w:rsidR="00A26F6C">
        <w:rPr>
          <w:rStyle w:val="rynqvb"/>
        </w:rPr>
        <w:t xml:space="preserve">benötigt es </w:t>
      </w:r>
      <w:r w:rsidR="00D6257F">
        <w:rPr>
          <w:rStyle w:val="rynqvb"/>
        </w:rPr>
        <w:t xml:space="preserve">gerade heute </w:t>
      </w:r>
      <w:r>
        <w:rPr>
          <w:rStyle w:val="rynqvb"/>
        </w:rPr>
        <w:t xml:space="preserve">unsere volle Unterstützung als Juristen im Allgemeinen und Völkerrechtler im Besonderen (siehe </w:t>
      </w:r>
      <w:hyperlink r:id="rId15" w:history="1">
        <w:r w:rsidRPr="00DD13CB">
          <w:rPr>
            <w:rStyle w:val="Hyperlink"/>
          </w:rPr>
          <w:t>hier</w:t>
        </w:r>
      </w:hyperlink>
      <w:r>
        <w:rPr>
          <w:rStyle w:val="rynqvb"/>
        </w:rPr>
        <w:t xml:space="preserve">), aber auch als </w:t>
      </w:r>
      <w:r w:rsidR="00A926DD">
        <w:rPr>
          <w:rStyle w:val="rynqvb"/>
        </w:rPr>
        <w:t xml:space="preserve">rechtstaatliche gesinnte </w:t>
      </w:r>
      <w:r>
        <w:rPr>
          <w:rStyle w:val="rynqvb"/>
        </w:rPr>
        <w:t>Bürger.</w:t>
      </w:r>
      <w:r>
        <w:rPr>
          <w:rStyle w:val="hwtze"/>
        </w:rPr>
        <w:t xml:space="preserve"> </w:t>
      </w:r>
      <w:r w:rsidR="00A926DD">
        <w:rPr>
          <w:rStyle w:val="hwtze"/>
        </w:rPr>
        <w:t>Zugleich</w:t>
      </w:r>
      <w:r>
        <w:rPr>
          <w:rStyle w:val="rynqvb"/>
        </w:rPr>
        <w:t xml:space="preserve"> wäre jede Form des Boykotts unserer akademischen Kollegen und Freunde in Israel kontraproduktiv und würde </w:t>
      </w:r>
      <w:r w:rsidR="00A26F6C">
        <w:rPr>
          <w:rStyle w:val="rynqvb"/>
        </w:rPr>
        <w:t xml:space="preserve">nicht nur </w:t>
      </w:r>
      <w:r>
        <w:rPr>
          <w:rStyle w:val="rynqvb"/>
        </w:rPr>
        <w:t xml:space="preserve">der Rechtsstaatlichkeit in </w:t>
      </w:r>
      <w:proofErr w:type="gramStart"/>
      <w:r>
        <w:rPr>
          <w:rStyle w:val="rynqvb"/>
        </w:rPr>
        <w:t>Israel</w:t>
      </w:r>
      <w:proofErr w:type="gramEnd"/>
      <w:r>
        <w:rPr>
          <w:rStyle w:val="rynqvb"/>
        </w:rPr>
        <w:t xml:space="preserve"> </w:t>
      </w:r>
      <w:r w:rsidR="00A26F6C">
        <w:rPr>
          <w:rStyle w:val="rynqvb"/>
        </w:rPr>
        <w:t>sondern</w:t>
      </w:r>
      <w:r>
        <w:rPr>
          <w:rStyle w:val="rynqvb"/>
        </w:rPr>
        <w:t xml:space="preserve"> </w:t>
      </w:r>
      <w:r w:rsidR="00A26F6C">
        <w:rPr>
          <w:rStyle w:val="rynqvb"/>
        </w:rPr>
        <w:t>auch dem Völkerrecht insgesamt</w:t>
      </w:r>
      <w:r>
        <w:rPr>
          <w:rStyle w:val="rynqvb"/>
        </w:rPr>
        <w:t xml:space="preserve"> </w:t>
      </w:r>
      <w:r w:rsidR="00A26F6C">
        <w:rPr>
          <w:rStyle w:val="rynqvb"/>
        </w:rPr>
        <w:t>einen Bärendienst erweisen</w:t>
      </w:r>
      <w:r>
        <w:rPr>
          <w:rStyle w:val="rynqvb"/>
        </w:rPr>
        <w:t>.</w:t>
      </w:r>
      <w:r>
        <w:rPr>
          <w:rStyle w:val="hwtze"/>
        </w:rPr>
        <w:t xml:space="preserve"> </w:t>
      </w:r>
      <w:r>
        <w:rPr>
          <w:rStyle w:val="rynqvb"/>
        </w:rPr>
        <w:t xml:space="preserve">Wir veröffentlichen diese Dokumente </w:t>
      </w:r>
      <w:r w:rsidR="00A26F6C">
        <w:rPr>
          <w:rStyle w:val="rynqvb"/>
        </w:rPr>
        <w:t xml:space="preserve">deshalb </w:t>
      </w:r>
      <w:r>
        <w:rPr>
          <w:rStyle w:val="rynqvb"/>
        </w:rPr>
        <w:t xml:space="preserve">auch, um deutlich zu machen, </w:t>
      </w:r>
      <w:r>
        <w:rPr>
          <w:rStyle w:val="rynqvb"/>
        </w:rPr>
        <w:lastRenderedPageBreak/>
        <w:t xml:space="preserve">dass wir – als </w:t>
      </w:r>
      <w:r w:rsidR="00A26F6C">
        <w:rPr>
          <w:rStyle w:val="rynqvb"/>
        </w:rPr>
        <w:t xml:space="preserve">Juristen und </w:t>
      </w:r>
      <w:r>
        <w:rPr>
          <w:rStyle w:val="rynqvb"/>
        </w:rPr>
        <w:t>Völkerrechtler – im Kampf für das Völkerrecht, in Gaza und darüber hinaus, alle vereint sind</w:t>
      </w:r>
      <w:r w:rsidR="00A26F6C">
        <w:rPr>
          <w:rStyle w:val="rynqvb"/>
        </w:rPr>
        <w:t xml:space="preserve"> und zusammenstehen müssen</w:t>
      </w:r>
      <w:r>
        <w:rPr>
          <w:rStyle w:val="rynqvb"/>
        </w:rPr>
        <w:t>.</w:t>
      </w:r>
    </w:p>
    <w:bookmarkEnd w:id="0"/>
    <w:p w14:paraId="5D40FC48" w14:textId="2A657084" w:rsidR="004142F3" w:rsidRDefault="00A26F6C" w:rsidP="00A26F6C">
      <w:pPr>
        <w:rPr>
          <w:lang w:val="en-GB"/>
        </w:rPr>
      </w:pPr>
      <w:r>
        <w:rPr>
          <w:b/>
          <w:bCs/>
          <w:lang w:val="en-US"/>
        </w:rPr>
        <w:t xml:space="preserve"> </w:t>
      </w:r>
    </w:p>
    <w:sectPr w:rsidR="004142F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174A" w14:textId="77777777" w:rsidR="004E2BF7" w:rsidRDefault="004E2BF7" w:rsidP="002E46A2">
      <w:pPr>
        <w:spacing w:after="0" w:line="240" w:lineRule="auto"/>
      </w:pPr>
      <w:r>
        <w:separator/>
      </w:r>
    </w:p>
  </w:endnote>
  <w:endnote w:type="continuationSeparator" w:id="0">
    <w:p w14:paraId="2672CADC" w14:textId="77777777" w:rsidR="004E2BF7" w:rsidRDefault="004E2BF7" w:rsidP="002E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C6DE" w14:textId="77777777" w:rsidR="004E2BF7" w:rsidRDefault="004E2BF7" w:rsidP="002E46A2">
      <w:pPr>
        <w:spacing w:after="0" w:line="240" w:lineRule="auto"/>
      </w:pPr>
      <w:r>
        <w:separator/>
      </w:r>
    </w:p>
  </w:footnote>
  <w:footnote w:type="continuationSeparator" w:id="0">
    <w:p w14:paraId="7C56E1E9" w14:textId="77777777" w:rsidR="004E2BF7" w:rsidRDefault="004E2BF7" w:rsidP="002E46A2">
      <w:pPr>
        <w:spacing w:after="0" w:line="240" w:lineRule="auto"/>
      </w:pPr>
      <w:r>
        <w:continuationSeparator/>
      </w:r>
    </w:p>
  </w:footnote>
  <w:footnote w:id="1">
    <w:p w14:paraId="22D77F1E" w14:textId="416B071A" w:rsidR="00DD13CB" w:rsidRPr="00DD13CB" w:rsidRDefault="00DD13CB">
      <w:pPr>
        <w:pStyle w:val="Funotentext"/>
      </w:pPr>
      <w:r>
        <w:rPr>
          <w:rStyle w:val="Funotenzeichen"/>
        </w:rPr>
        <w:footnoteRef/>
      </w:r>
      <w:r w:rsidRPr="00DD13CB">
        <w:t xml:space="preserve"> </w:t>
      </w:r>
      <w:r>
        <w:t xml:space="preserve">Dabei ist zu </w:t>
      </w:r>
      <w:r>
        <w:rPr>
          <w:rStyle w:val="rynqvb"/>
        </w:rPr>
        <w:t>beachten, dass die Unterzeichner jedes Dokuments variieren, weshalb einem Mitglied der Gruppe die in einem Dokument zum Ausdruck gebrachten Positionen nur dann zugerechnet werden können, wenn es dieses Dokument persönlich unterzeichnet hat.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2DC9"/>
    <w:multiLevelType w:val="hybridMultilevel"/>
    <w:tmpl w:val="76E6C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611D77"/>
    <w:multiLevelType w:val="hybridMultilevel"/>
    <w:tmpl w:val="16A8A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9309103">
    <w:abstractNumId w:val="0"/>
  </w:num>
  <w:num w:numId="2" w16cid:durableId="1397362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3D"/>
    <w:rsid w:val="00056661"/>
    <w:rsid w:val="000569C5"/>
    <w:rsid w:val="00064513"/>
    <w:rsid w:val="000659C1"/>
    <w:rsid w:val="00080096"/>
    <w:rsid w:val="000A1BC7"/>
    <w:rsid w:val="000B1DA4"/>
    <w:rsid w:val="000C32B4"/>
    <w:rsid w:val="000F4096"/>
    <w:rsid w:val="001070D7"/>
    <w:rsid w:val="001105AF"/>
    <w:rsid w:val="0011566F"/>
    <w:rsid w:val="00122E04"/>
    <w:rsid w:val="00133ACB"/>
    <w:rsid w:val="00140C95"/>
    <w:rsid w:val="0016672E"/>
    <w:rsid w:val="00167C8F"/>
    <w:rsid w:val="00174E2E"/>
    <w:rsid w:val="00191232"/>
    <w:rsid w:val="001F4348"/>
    <w:rsid w:val="00204791"/>
    <w:rsid w:val="0020721A"/>
    <w:rsid w:val="00226B2E"/>
    <w:rsid w:val="00237465"/>
    <w:rsid w:val="00245D68"/>
    <w:rsid w:val="002700F8"/>
    <w:rsid w:val="002C5586"/>
    <w:rsid w:val="002E46A2"/>
    <w:rsid w:val="002F6574"/>
    <w:rsid w:val="00314D2E"/>
    <w:rsid w:val="00322412"/>
    <w:rsid w:val="00343B87"/>
    <w:rsid w:val="00345231"/>
    <w:rsid w:val="00345A04"/>
    <w:rsid w:val="003473BA"/>
    <w:rsid w:val="003912E2"/>
    <w:rsid w:val="003D350F"/>
    <w:rsid w:val="003F137D"/>
    <w:rsid w:val="003F4EC0"/>
    <w:rsid w:val="00401BF9"/>
    <w:rsid w:val="004142F3"/>
    <w:rsid w:val="0042387C"/>
    <w:rsid w:val="00423A9C"/>
    <w:rsid w:val="00432533"/>
    <w:rsid w:val="0044723C"/>
    <w:rsid w:val="00490B35"/>
    <w:rsid w:val="004C11DD"/>
    <w:rsid w:val="004D40AC"/>
    <w:rsid w:val="004E0BED"/>
    <w:rsid w:val="004E2BF7"/>
    <w:rsid w:val="004E6DE8"/>
    <w:rsid w:val="004E7E8B"/>
    <w:rsid w:val="004F5CAC"/>
    <w:rsid w:val="00511645"/>
    <w:rsid w:val="00524894"/>
    <w:rsid w:val="00537CBC"/>
    <w:rsid w:val="00575B97"/>
    <w:rsid w:val="005C0A94"/>
    <w:rsid w:val="005C6D6D"/>
    <w:rsid w:val="005E3751"/>
    <w:rsid w:val="006110B8"/>
    <w:rsid w:val="00615673"/>
    <w:rsid w:val="00621BB9"/>
    <w:rsid w:val="006570E0"/>
    <w:rsid w:val="00661042"/>
    <w:rsid w:val="00666625"/>
    <w:rsid w:val="006838BF"/>
    <w:rsid w:val="006A1AD8"/>
    <w:rsid w:val="006A5942"/>
    <w:rsid w:val="006B1A5B"/>
    <w:rsid w:val="006C44C4"/>
    <w:rsid w:val="006D3F66"/>
    <w:rsid w:val="006D7233"/>
    <w:rsid w:val="00726220"/>
    <w:rsid w:val="007426A9"/>
    <w:rsid w:val="007A022D"/>
    <w:rsid w:val="007A0336"/>
    <w:rsid w:val="007A0468"/>
    <w:rsid w:val="007A6A8A"/>
    <w:rsid w:val="007F6C5A"/>
    <w:rsid w:val="00810110"/>
    <w:rsid w:val="00824043"/>
    <w:rsid w:val="008371AC"/>
    <w:rsid w:val="00840277"/>
    <w:rsid w:val="00853ECF"/>
    <w:rsid w:val="008925E3"/>
    <w:rsid w:val="0089326E"/>
    <w:rsid w:val="00896A81"/>
    <w:rsid w:val="008A4089"/>
    <w:rsid w:val="008A7F95"/>
    <w:rsid w:val="009239FA"/>
    <w:rsid w:val="009363B5"/>
    <w:rsid w:val="00941DDE"/>
    <w:rsid w:val="0094314E"/>
    <w:rsid w:val="00946612"/>
    <w:rsid w:val="00955FDE"/>
    <w:rsid w:val="00961B06"/>
    <w:rsid w:val="00971F79"/>
    <w:rsid w:val="009A252F"/>
    <w:rsid w:val="009D24FB"/>
    <w:rsid w:val="009D5186"/>
    <w:rsid w:val="00A15402"/>
    <w:rsid w:val="00A26F6C"/>
    <w:rsid w:val="00A43122"/>
    <w:rsid w:val="00A53D54"/>
    <w:rsid w:val="00A75501"/>
    <w:rsid w:val="00A75B29"/>
    <w:rsid w:val="00A926DD"/>
    <w:rsid w:val="00AA649A"/>
    <w:rsid w:val="00AF2BBE"/>
    <w:rsid w:val="00B03825"/>
    <w:rsid w:val="00B26AFA"/>
    <w:rsid w:val="00B445BE"/>
    <w:rsid w:val="00B56927"/>
    <w:rsid w:val="00B57AA4"/>
    <w:rsid w:val="00B645D6"/>
    <w:rsid w:val="00B67C0F"/>
    <w:rsid w:val="00BA40EF"/>
    <w:rsid w:val="00BA6FA8"/>
    <w:rsid w:val="00BB44EE"/>
    <w:rsid w:val="00BB70D2"/>
    <w:rsid w:val="00BC6DFC"/>
    <w:rsid w:val="00BE1EAA"/>
    <w:rsid w:val="00BF0B36"/>
    <w:rsid w:val="00BF6994"/>
    <w:rsid w:val="00C0387B"/>
    <w:rsid w:val="00C108B4"/>
    <w:rsid w:val="00C43428"/>
    <w:rsid w:val="00C701EF"/>
    <w:rsid w:val="00C765F7"/>
    <w:rsid w:val="00C83A73"/>
    <w:rsid w:val="00CB3530"/>
    <w:rsid w:val="00CC65A1"/>
    <w:rsid w:val="00D23771"/>
    <w:rsid w:val="00D6257F"/>
    <w:rsid w:val="00D81B9E"/>
    <w:rsid w:val="00DC0C85"/>
    <w:rsid w:val="00DD13CB"/>
    <w:rsid w:val="00DE5224"/>
    <w:rsid w:val="00DF1EF2"/>
    <w:rsid w:val="00DF5280"/>
    <w:rsid w:val="00E95BF4"/>
    <w:rsid w:val="00E961A6"/>
    <w:rsid w:val="00EA0A34"/>
    <w:rsid w:val="00EB57C2"/>
    <w:rsid w:val="00EC0DA0"/>
    <w:rsid w:val="00ED195D"/>
    <w:rsid w:val="00F16373"/>
    <w:rsid w:val="00F5743D"/>
    <w:rsid w:val="00F80EEF"/>
    <w:rsid w:val="00FE2A2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1F27"/>
  <w15:chartTrackingRefBased/>
  <w15:docId w15:val="{841FE35D-82C9-4FFE-9A27-98858E2A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743D"/>
    <w:pPr>
      <w:spacing w:after="120" w:line="360" w:lineRule="auto"/>
    </w:pPr>
    <w:rPr>
      <w:rFonts w:ascii="Arial" w:hAnsi="Arial" w:cs="Aptos"/>
      <w:kern w:val="0"/>
      <w:lang w:eastAsia="de-DE"/>
      <w14:ligatures w14:val="none"/>
    </w:rPr>
  </w:style>
  <w:style w:type="paragraph" w:styleId="berschrift1">
    <w:name w:val="heading 1"/>
    <w:basedOn w:val="Standard"/>
    <w:next w:val="Standard"/>
    <w:link w:val="berschrift1Zchn"/>
    <w:uiPriority w:val="9"/>
    <w:qFormat/>
    <w:rsid w:val="00F57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57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5743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5743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5743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5743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5743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5743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5743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743D"/>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F5743D"/>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F5743D"/>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F5743D"/>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F5743D"/>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F5743D"/>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F5743D"/>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F5743D"/>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F5743D"/>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F57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5743D"/>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F5743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5743D"/>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F5743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5743D"/>
    <w:rPr>
      <w:i/>
      <w:iCs/>
      <w:color w:val="404040" w:themeColor="text1" w:themeTint="BF"/>
      <w:lang w:val="en-GB"/>
    </w:rPr>
  </w:style>
  <w:style w:type="paragraph" w:styleId="Listenabsatz">
    <w:name w:val="List Paragraph"/>
    <w:basedOn w:val="Standard"/>
    <w:uiPriority w:val="34"/>
    <w:qFormat/>
    <w:rsid w:val="00F5743D"/>
    <w:pPr>
      <w:ind w:left="720"/>
      <w:contextualSpacing/>
    </w:pPr>
  </w:style>
  <w:style w:type="character" w:styleId="IntensiveHervorhebung">
    <w:name w:val="Intense Emphasis"/>
    <w:basedOn w:val="Absatz-Standardschriftart"/>
    <w:uiPriority w:val="21"/>
    <w:qFormat/>
    <w:rsid w:val="00F5743D"/>
    <w:rPr>
      <w:i/>
      <w:iCs/>
      <w:color w:val="0F4761" w:themeColor="accent1" w:themeShade="BF"/>
    </w:rPr>
  </w:style>
  <w:style w:type="paragraph" w:styleId="IntensivesZitat">
    <w:name w:val="Intense Quote"/>
    <w:basedOn w:val="Standard"/>
    <w:next w:val="Standard"/>
    <w:link w:val="IntensivesZitatZchn"/>
    <w:uiPriority w:val="30"/>
    <w:qFormat/>
    <w:rsid w:val="00F57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5743D"/>
    <w:rPr>
      <w:i/>
      <w:iCs/>
      <w:color w:val="0F4761" w:themeColor="accent1" w:themeShade="BF"/>
      <w:lang w:val="en-GB"/>
    </w:rPr>
  </w:style>
  <w:style w:type="character" w:styleId="IntensiverVerweis">
    <w:name w:val="Intense Reference"/>
    <w:basedOn w:val="Absatz-Standardschriftart"/>
    <w:uiPriority w:val="32"/>
    <w:qFormat/>
    <w:rsid w:val="00F5743D"/>
    <w:rPr>
      <w:b/>
      <w:bCs/>
      <w:smallCaps/>
      <w:color w:val="0F4761" w:themeColor="accent1" w:themeShade="BF"/>
      <w:spacing w:val="5"/>
    </w:rPr>
  </w:style>
  <w:style w:type="character" w:styleId="Hyperlink">
    <w:name w:val="Hyperlink"/>
    <w:basedOn w:val="Absatz-Standardschriftart"/>
    <w:uiPriority w:val="99"/>
    <w:unhideWhenUsed/>
    <w:rsid w:val="00F5743D"/>
    <w:rPr>
      <w:color w:val="467886" w:themeColor="hyperlink"/>
      <w:u w:val="single"/>
    </w:rPr>
  </w:style>
  <w:style w:type="character" w:customStyle="1" w:styleId="NichtaufgelsteErwhnung1">
    <w:name w:val="Nicht aufgelöste Erwähnung1"/>
    <w:basedOn w:val="Absatz-Standardschriftart"/>
    <w:uiPriority w:val="99"/>
    <w:semiHidden/>
    <w:unhideWhenUsed/>
    <w:rsid w:val="00F5743D"/>
    <w:rPr>
      <w:color w:val="605E5C"/>
      <w:shd w:val="clear" w:color="auto" w:fill="E1DFDD"/>
    </w:rPr>
  </w:style>
  <w:style w:type="paragraph" w:styleId="Funotentext">
    <w:name w:val="footnote text"/>
    <w:basedOn w:val="Standard"/>
    <w:link w:val="FunotentextZchn"/>
    <w:uiPriority w:val="99"/>
    <w:unhideWhenUsed/>
    <w:rsid w:val="002E46A2"/>
    <w:pPr>
      <w:spacing w:after="0" w:line="240" w:lineRule="auto"/>
    </w:pPr>
    <w:rPr>
      <w:sz w:val="20"/>
      <w:szCs w:val="20"/>
    </w:rPr>
  </w:style>
  <w:style w:type="character" w:customStyle="1" w:styleId="FunotentextZchn">
    <w:name w:val="Fußnotentext Zchn"/>
    <w:basedOn w:val="Absatz-Standardschriftart"/>
    <w:link w:val="Funotentext"/>
    <w:uiPriority w:val="99"/>
    <w:rsid w:val="002E46A2"/>
    <w:rPr>
      <w:rFonts w:ascii="Arial" w:hAnsi="Arial" w:cs="Aptos"/>
      <w:kern w:val="0"/>
      <w:sz w:val="20"/>
      <w:szCs w:val="20"/>
      <w:lang w:eastAsia="de-DE"/>
      <w14:ligatures w14:val="none"/>
    </w:rPr>
  </w:style>
  <w:style w:type="character" w:styleId="Funotenzeichen">
    <w:name w:val="footnote reference"/>
    <w:basedOn w:val="Absatz-Standardschriftart"/>
    <w:uiPriority w:val="99"/>
    <w:semiHidden/>
    <w:unhideWhenUsed/>
    <w:rsid w:val="002E46A2"/>
    <w:rPr>
      <w:vertAlign w:val="superscript"/>
    </w:rPr>
  </w:style>
  <w:style w:type="character" w:styleId="Kommentarzeichen">
    <w:name w:val="annotation reference"/>
    <w:basedOn w:val="Absatz-Standardschriftart"/>
    <w:uiPriority w:val="99"/>
    <w:semiHidden/>
    <w:unhideWhenUsed/>
    <w:rsid w:val="00322412"/>
    <w:rPr>
      <w:sz w:val="16"/>
      <w:szCs w:val="16"/>
    </w:rPr>
  </w:style>
  <w:style w:type="paragraph" w:styleId="Kommentartext">
    <w:name w:val="annotation text"/>
    <w:basedOn w:val="Standard"/>
    <w:link w:val="KommentartextZchn"/>
    <w:uiPriority w:val="99"/>
    <w:unhideWhenUsed/>
    <w:rsid w:val="00322412"/>
    <w:pPr>
      <w:spacing w:after="160" w:line="240" w:lineRule="auto"/>
    </w:pPr>
    <w:rPr>
      <w:rFonts w:asciiTheme="minorHAnsi" w:hAnsiTheme="minorHAnsi" w:cstheme="minorBidi"/>
      <w:sz w:val="20"/>
      <w:szCs w:val="20"/>
      <w:lang w:val="en-US" w:eastAsia="en-US" w:bidi="he-IL"/>
    </w:rPr>
  </w:style>
  <w:style w:type="character" w:customStyle="1" w:styleId="KommentartextZchn">
    <w:name w:val="Kommentartext Zchn"/>
    <w:basedOn w:val="Absatz-Standardschriftart"/>
    <w:link w:val="Kommentartext"/>
    <w:uiPriority w:val="99"/>
    <w:rsid w:val="00322412"/>
    <w:rPr>
      <w:kern w:val="0"/>
      <w:sz w:val="20"/>
      <w:szCs w:val="20"/>
      <w:lang w:val="en-US" w:bidi="he-IL"/>
      <w14:ligatures w14:val="none"/>
    </w:rPr>
  </w:style>
  <w:style w:type="paragraph" w:customStyle="1" w:styleId="treatydescription-paragraph-sm">
    <w:name w:val="treaty__description-paragraph-sm"/>
    <w:basedOn w:val="Standard"/>
    <w:rsid w:val="003912E2"/>
    <w:pPr>
      <w:spacing w:before="100" w:beforeAutospacing="1" w:after="100" w:afterAutospacing="1" w:line="240" w:lineRule="auto"/>
    </w:pPr>
    <w:rPr>
      <w:rFonts w:ascii="Times New Roman" w:eastAsia="Times New Roman" w:hAnsi="Times New Roman" w:cs="Times New Roman"/>
    </w:rPr>
  </w:style>
  <w:style w:type="paragraph" w:customStyle="1" w:styleId="empty">
    <w:name w:val="empty"/>
    <w:basedOn w:val="Standard"/>
    <w:rsid w:val="003912E2"/>
    <w:pPr>
      <w:spacing w:before="100" w:beforeAutospacing="1" w:after="100" w:afterAutospacing="1" w:line="240" w:lineRule="auto"/>
    </w:pPr>
    <w:rPr>
      <w:rFonts w:ascii="Times New Roman" w:eastAsia="Times New Roman" w:hAnsi="Times New Roman" w:cs="Times New Roman"/>
    </w:rPr>
  </w:style>
  <w:style w:type="character" w:styleId="BesuchterLink">
    <w:name w:val="FollowedHyperlink"/>
    <w:basedOn w:val="Absatz-Standardschriftart"/>
    <w:uiPriority w:val="99"/>
    <w:semiHidden/>
    <w:unhideWhenUsed/>
    <w:rsid w:val="006D7233"/>
    <w:rPr>
      <w:color w:val="96607D" w:themeColor="followedHyperlink"/>
      <w:u w:val="single"/>
    </w:rPr>
  </w:style>
  <w:style w:type="paragraph" w:styleId="Kommentarthema">
    <w:name w:val="annotation subject"/>
    <w:basedOn w:val="Kommentartext"/>
    <w:next w:val="Kommentartext"/>
    <w:link w:val="KommentarthemaZchn"/>
    <w:uiPriority w:val="99"/>
    <w:semiHidden/>
    <w:unhideWhenUsed/>
    <w:rsid w:val="00E961A6"/>
    <w:pPr>
      <w:spacing w:after="120"/>
    </w:pPr>
    <w:rPr>
      <w:rFonts w:ascii="Arial" w:hAnsi="Arial" w:cs="Aptos"/>
      <w:b/>
      <w:bCs/>
      <w:lang w:val="de-DE" w:eastAsia="de-DE" w:bidi="ar-SA"/>
    </w:rPr>
  </w:style>
  <w:style w:type="character" w:customStyle="1" w:styleId="KommentarthemaZchn">
    <w:name w:val="Kommentarthema Zchn"/>
    <w:basedOn w:val="KommentartextZchn"/>
    <w:link w:val="Kommentarthema"/>
    <w:uiPriority w:val="99"/>
    <w:semiHidden/>
    <w:rsid w:val="00E961A6"/>
    <w:rPr>
      <w:rFonts w:ascii="Arial" w:hAnsi="Arial" w:cs="Aptos"/>
      <w:b/>
      <w:bCs/>
      <w:kern w:val="0"/>
      <w:sz w:val="20"/>
      <w:szCs w:val="20"/>
      <w:lang w:val="en-US" w:eastAsia="de-DE" w:bidi="he-IL"/>
      <w14:ligatures w14:val="none"/>
    </w:rPr>
  </w:style>
  <w:style w:type="paragraph" w:styleId="Sprechblasentext">
    <w:name w:val="Balloon Text"/>
    <w:basedOn w:val="Standard"/>
    <w:link w:val="SprechblasentextZchn"/>
    <w:uiPriority w:val="99"/>
    <w:semiHidden/>
    <w:unhideWhenUsed/>
    <w:rsid w:val="007F6C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6C5A"/>
    <w:rPr>
      <w:rFonts w:ascii="Segoe UI" w:hAnsi="Segoe UI" w:cs="Segoe UI"/>
      <w:kern w:val="0"/>
      <w:sz w:val="18"/>
      <w:szCs w:val="18"/>
      <w:lang w:eastAsia="de-DE"/>
      <w14:ligatures w14:val="none"/>
    </w:rPr>
  </w:style>
  <w:style w:type="character" w:styleId="NichtaufgelsteErwhnung">
    <w:name w:val="Unresolved Mention"/>
    <w:basedOn w:val="Absatz-Standardschriftart"/>
    <w:uiPriority w:val="99"/>
    <w:semiHidden/>
    <w:unhideWhenUsed/>
    <w:rsid w:val="0044723C"/>
    <w:rPr>
      <w:color w:val="605E5C"/>
      <w:shd w:val="clear" w:color="auto" w:fill="E1DFDD"/>
    </w:rPr>
  </w:style>
  <w:style w:type="paragraph" w:styleId="berarbeitung">
    <w:name w:val="Revision"/>
    <w:hidden/>
    <w:uiPriority w:val="99"/>
    <w:semiHidden/>
    <w:rsid w:val="006A1AD8"/>
    <w:pPr>
      <w:spacing w:after="0" w:line="240" w:lineRule="auto"/>
    </w:pPr>
    <w:rPr>
      <w:rFonts w:ascii="Arial" w:hAnsi="Arial" w:cs="Aptos"/>
      <w:kern w:val="0"/>
      <w:lang w:eastAsia="de-DE"/>
      <w14:ligatures w14:val="none"/>
    </w:rPr>
  </w:style>
  <w:style w:type="character" w:customStyle="1" w:styleId="hwtze">
    <w:name w:val="hwtze"/>
    <w:basedOn w:val="Absatz-Standardschriftart"/>
    <w:rsid w:val="00BF0B36"/>
  </w:style>
  <w:style w:type="character" w:customStyle="1" w:styleId="rynqvb">
    <w:name w:val="rynqvb"/>
    <w:basedOn w:val="Absatz-Standardschriftart"/>
    <w:rsid w:val="00BF0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70824">
      <w:bodyDiv w:val="1"/>
      <w:marLeft w:val="0"/>
      <w:marRight w:val="0"/>
      <w:marTop w:val="0"/>
      <w:marBottom w:val="0"/>
      <w:divBdr>
        <w:top w:val="none" w:sz="0" w:space="0" w:color="auto"/>
        <w:left w:val="none" w:sz="0" w:space="0" w:color="auto"/>
        <w:bottom w:val="none" w:sz="0" w:space="0" w:color="auto"/>
        <w:right w:val="none" w:sz="0" w:space="0" w:color="auto"/>
      </w:divBdr>
    </w:div>
    <w:div w:id="473526824">
      <w:bodyDiv w:val="1"/>
      <w:marLeft w:val="0"/>
      <w:marRight w:val="0"/>
      <w:marTop w:val="0"/>
      <w:marBottom w:val="0"/>
      <w:divBdr>
        <w:top w:val="none" w:sz="0" w:space="0" w:color="auto"/>
        <w:left w:val="none" w:sz="0" w:space="0" w:color="auto"/>
        <w:bottom w:val="none" w:sz="0" w:space="0" w:color="auto"/>
        <w:right w:val="none" w:sz="0" w:space="0" w:color="auto"/>
      </w:divBdr>
      <w:divsChild>
        <w:div w:id="1012104335">
          <w:marLeft w:val="0"/>
          <w:marRight w:val="0"/>
          <w:marTop w:val="0"/>
          <w:marBottom w:val="0"/>
          <w:divBdr>
            <w:top w:val="none" w:sz="0" w:space="0" w:color="auto"/>
            <w:left w:val="none" w:sz="0" w:space="0" w:color="auto"/>
            <w:bottom w:val="none" w:sz="0" w:space="0" w:color="auto"/>
            <w:right w:val="none" w:sz="0" w:space="0" w:color="auto"/>
          </w:divBdr>
        </w:div>
      </w:divsChild>
    </w:div>
    <w:div w:id="203819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profsforum.org/post/_retrospective" TargetMode="External"/><Relationship Id="rId13" Type="http://schemas.openxmlformats.org/officeDocument/2006/relationships/hyperlink" Target="https://verfassungsblog.de/international-law-in-ga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stsecurity.org/116904/israeli-international-law-scholars-ga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aretz.com/israel-news/2025-07-07/ty-article/.premium/defense-minister-israel-to-concentrate-all-gaza-population-in-rafah-humanitarian-zone/00000197-e56a-d1ad-ab97-e5ef764e0000" TargetMode="External"/><Relationship Id="rId5" Type="http://schemas.openxmlformats.org/officeDocument/2006/relationships/webSettings" Target="webSettings.xml"/><Relationship Id="rId15" Type="http://schemas.openxmlformats.org/officeDocument/2006/relationships/hyperlink" Target="https://verfassungsblog.de/respekt-fur-das-volkerrecht/" TargetMode="External"/><Relationship Id="rId10" Type="http://schemas.openxmlformats.org/officeDocument/2006/relationships/hyperlink" Target="https://docs.google.com/forms/d/e/1FAIpQLSd4lrsDRg3HbJqoAf0BlAe7BHJuzpQB_Le27Iureq9vpCoBkw/viewform" TargetMode="External"/><Relationship Id="rId4" Type="http://schemas.openxmlformats.org/officeDocument/2006/relationships/settings" Target="settings.xml"/><Relationship Id="rId9" Type="http://schemas.openxmlformats.org/officeDocument/2006/relationships/hyperlink" Target="https://www.linkedin.com/posts/eliav-lieblich-2a949334_petition-introduction-activity-7325942063072468992-B5VB" TargetMode="External"/><Relationship Id="rId14" Type="http://schemas.openxmlformats.org/officeDocument/2006/relationships/hyperlink" Target="https://www.icj-cij.org/case/19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9182C-7651-40C1-A813-C34C7699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4658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Ambos</dc:creator>
  <cp:keywords/>
  <dc:description/>
  <cp:lastModifiedBy>Sarah Siebert</cp:lastModifiedBy>
  <cp:revision>2</cp:revision>
  <dcterms:created xsi:type="dcterms:W3CDTF">2025-07-28T11:57:00Z</dcterms:created>
  <dcterms:modified xsi:type="dcterms:W3CDTF">2025-07-28T11:57:00Z</dcterms:modified>
</cp:coreProperties>
</file>